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17841" w14:textId="77777777" w:rsidR="009C4A30" w:rsidRDefault="009E4B5F">
      <w:pPr>
        <w:keepNext/>
        <w:spacing w:after="60"/>
        <w:jc w:val="center"/>
      </w:pPr>
      <w:r>
        <w:rPr>
          <w:noProof/>
        </w:rPr>
        <w:drawing>
          <wp:inline distT="0" distB="0" distL="0" distR="0" wp14:anchorId="1C5E8180" wp14:editId="709ADF31">
            <wp:extent cx="1371600" cy="1035017"/>
            <wp:effectExtent l="0" t="0" r="0" b="0"/>
            <wp:docPr id="1" name="Picture 1" descr="People on the Go Maryland logo. Moving Forward, Advocating for Change." title="People on the Go Mary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g_logo.png"/>
                    <pic:cNvPicPr/>
                  </pic:nvPicPr>
                  <pic:blipFill>
                    <a:blip r:embed="rId8"/>
                    <a:stretch>
                      <a:fillRect/>
                    </a:stretch>
                  </pic:blipFill>
                  <pic:spPr>
                    <a:xfrm>
                      <a:off x="0" y="0"/>
                      <a:ext cx="1371600" cy="1035017"/>
                    </a:xfrm>
                    <a:prstGeom prst="rect">
                      <a:avLst/>
                    </a:prstGeom>
                  </pic:spPr>
                </pic:pic>
              </a:graphicData>
            </a:graphic>
          </wp:inline>
        </w:drawing>
      </w:r>
    </w:p>
    <w:p w14:paraId="342F2B1C" w14:textId="77777777" w:rsidR="009C4A30" w:rsidRDefault="009E4B5F">
      <w:pPr>
        <w:keepNext/>
        <w:spacing w:after="80" w:line="240" w:lineRule="auto"/>
        <w:jc w:val="center"/>
      </w:pPr>
      <w:r>
        <w:rPr>
          <w:b/>
          <w:sz w:val="34"/>
        </w:rPr>
        <w:t>People on the Go Maryland (POG)</w:t>
      </w:r>
    </w:p>
    <w:p w14:paraId="10958E51" w14:textId="77777777" w:rsidR="009C4A30" w:rsidRDefault="009E4B5F">
      <w:pPr>
        <w:keepNext/>
        <w:spacing w:after="120" w:line="240" w:lineRule="auto"/>
        <w:jc w:val="center"/>
      </w:pPr>
      <w:r>
        <w:rPr>
          <w:sz w:val="23"/>
        </w:rPr>
        <w:t>Maryland’s statewide self-advocacy and systems advocacy organization run for and by those with intellectual and/or developmental disabilities.</w:t>
      </w:r>
    </w:p>
    <w:p w14:paraId="5481754B" w14:textId="77777777" w:rsidR="009C4A30" w:rsidRDefault="009E4B5F">
      <w:pPr>
        <w:keepNext/>
        <w:spacing w:after="120" w:line="240" w:lineRule="auto"/>
        <w:jc w:val="center"/>
      </w:pPr>
      <w:r>
        <w:rPr>
          <w:b/>
          <w:sz w:val="40"/>
        </w:rPr>
        <w:t>Texas v. Kennedy, Community Living,</w:t>
      </w:r>
      <w:r>
        <w:rPr>
          <w:b/>
          <w:sz w:val="40"/>
        </w:rPr>
        <w:br/>
        <w:t>and Accountability in Maryland</w:t>
      </w:r>
    </w:p>
    <w:p w14:paraId="057D9D1C" w14:textId="77777777" w:rsidR="009C4A30" w:rsidRDefault="009E4B5F">
      <w:pPr>
        <w:keepNext/>
        <w:spacing w:after="40" w:line="240" w:lineRule="auto"/>
        <w:jc w:val="center"/>
      </w:pPr>
      <w:r>
        <w:rPr>
          <w:sz w:val="23"/>
        </w:rPr>
        <w:t>Policy statement | October 1, 2026</w:t>
      </w:r>
    </w:p>
    <w:p w14:paraId="3F00ED00" w14:textId="77777777" w:rsidR="009C4A30" w:rsidRDefault="009E4B5F">
      <w:pPr>
        <w:keepNext/>
        <w:spacing w:after="180" w:line="240" w:lineRule="auto"/>
        <w:jc w:val="center"/>
      </w:pPr>
      <w:r>
        <w:rPr>
          <w:b/>
          <w:sz w:val="24"/>
        </w:rPr>
        <w:t>By Mat Rice, Executive Director</w:t>
      </w:r>
    </w:p>
    <w:p w14:paraId="2190EAD3" w14:textId="77777777" w:rsidR="009C4A30" w:rsidRDefault="009E4B5F">
      <w:r>
        <w:t>On September 23, 2026, a federal district court in Texas v. Kennedy set aside parts of the federal health department’s Section 504 rules on community integration nationwide. Community integ</w:t>
      </w:r>
      <w:r>
        <w:t>ration means living and taking part in everyday life alongside people without disabilities. The judgment did not overturn Olmstead, repeal Section 504 or the Americans with Disabilities Act (ADA), or order Maryland to cut services. [1]</w:t>
      </w:r>
    </w:p>
    <w:p w14:paraId="4F8D619D" w14:textId="77777777" w:rsidR="009C4A30" w:rsidRDefault="009E4B5F">
      <w:r>
        <w:t>These protections, t</w:t>
      </w:r>
      <w:r>
        <w:t>ogether with the Individuals with Disabilities Education Act (IDEA), remain central to POG’s work. Our question goes beyond one court case: will people have the support they need to live in their communities? [1]</w:t>
      </w:r>
    </w:p>
    <w:p w14:paraId="7DE6B061" w14:textId="77777777" w:rsidR="009C4A30" w:rsidRDefault="009E4B5F">
      <w:r>
        <w:t>This is a nonpartisan concern across servic</w:t>
      </w:r>
      <w:r>
        <w:t>e systems. Maryland Medicaid is broader than the Developmental Disabilities Administration (DDA). People seeking health care, disability services and other supports tell POG they feel neither heard nor valued.</w:t>
      </w:r>
    </w:p>
    <w:p w14:paraId="16096C1B" w14:textId="77777777" w:rsidR="009C4A30" w:rsidRDefault="009E4B5F">
      <w:pPr>
        <w:pStyle w:val="Heading1"/>
      </w:pPr>
      <w:r>
        <w:t>Your services do not erase your rights</w:t>
      </w:r>
    </w:p>
    <w:p w14:paraId="02850CD2" w14:textId="77777777" w:rsidR="009C4A30" w:rsidRDefault="009E4B5F">
      <w:r>
        <w:t>These c</w:t>
      </w:r>
      <w:r>
        <w:t>oncerns affect both DDA service models. In the provider supported model, an agency employs direct support professionals and helps manage supports. In self-direction, you are the boss: you or your designated representative are the employer of record, with h</w:t>
      </w:r>
      <w:r>
        <w:t>elp and responsibilities under program rules. [2]</w:t>
      </w:r>
    </w:p>
    <w:p w14:paraId="454992EE" w14:textId="77777777" w:rsidR="009C4A30" w:rsidRDefault="009E4B5F">
      <w:r>
        <w:rPr>
          <w:b/>
        </w:rPr>
        <w:t>Our self advocacy message is clear: you have the right to decide who attends meetings about you and what personal information they receive.</w:t>
      </w:r>
      <w:r>
        <w:t xml:space="preserve"> You should have support to make those decisions. [2]</w:t>
      </w:r>
    </w:p>
    <w:p w14:paraId="3296889C" w14:textId="77777777" w:rsidR="009C4A30" w:rsidRDefault="009E4B5F">
      <w:r>
        <w:rPr>
          <w:b/>
        </w:rPr>
        <w:t>Accepting ser</w:t>
      </w:r>
      <w:r>
        <w:rPr>
          <w:b/>
        </w:rPr>
        <w:t>vices from DDA or anyone else is not a blanket surrender of privacy or other fundamental rights.</w:t>
      </w:r>
      <w:r>
        <w:t xml:space="preserve"> Specific lawful requirements still apply, and some information sharing is allowed without separate permission. Ask what rule allows it and how to raise a conce</w:t>
      </w:r>
      <w:r>
        <w:t>rn. [2, 10]</w:t>
      </w:r>
    </w:p>
    <w:p w14:paraId="5403927A" w14:textId="77777777" w:rsidR="009C4A30" w:rsidRDefault="009E4B5F">
      <w:r>
        <w:rPr>
          <w:b/>
        </w:rPr>
        <w:t>You have the right to ask for the rule.</w:t>
      </w:r>
      <w:r>
        <w:t xml:space="preserve"> If someone says something is required, ask: “Please show me the rule and explain it in a way that makes sense to me.” This applies across services, not just to assessments. Ask for your language, communic</w:t>
      </w:r>
      <w:r>
        <w:t>ation style or an accessible format, with support as needed. [2, 10]</w:t>
      </w:r>
    </w:p>
    <w:p w14:paraId="281728F0" w14:textId="77777777" w:rsidR="009C4A30" w:rsidRDefault="009E4B5F">
      <w:pPr>
        <w:pStyle w:val="Heading1"/>
        <w:pageBreakBefore/>
        <w:spacing w:before="0"/>
      </w:pPr>
      <w:r>
        <w:t>Use the team’s knowledge and protect relationships</w:t>
      </w:r>
    </w:p>
    <w:p w14:paraId="1B8A5821" w14:textId="77777777" w:rsidR="009C4A30" w:rsidRDefault="009E4B5F">
      <w:r>
        <w:t>DDA describes the Supports Intensity Scale (SIS) as a required interview about support needs, separate from a person centered planning m</w:t>
      </w:r>
      <w:r>
        <w:t>eeting. It includes a trained assessor and people who know you. [3]</w:t>
      </w:r>
    </w:p>
    <w:p w14:paraId="2563B4C5" w14:textId="77777777" w:rsidR="009C4A30" w:rsidRDefault="009E4B5F">
      <w:r>
        <w:t>Some POG members say their services have worked for years, but they are now being told to take SIS for the first time. They also report being told it will not affect their funding or level</w:t>
      </w:r>
      <w:r>
        <w:t xml:space="preserve"> of services. Yet DDA’s public information describes using SIS alongside other information to establish staffing support and link funding to needs. These messages need a clear explanation. [3]</w:t>
      </w:r>
    </w:p>
    <w:p w14:paraId="7D1AA7AE" w14:textId="77777777" w:rsidR="009C4A30" w:rsidRDefault="009E4B5F">
      <w:r>
        <w:t>What happens if an outside SIS assessor or another professional</w:t>
      </w:r>
      <w:r>
        <w:t xml:space="preserve"> sees the support you receive and believes you could manage alone or with “natural supports,” meaning unpaid help? Could that view affect your services, even without directly setting your budget? Doing well with support is not the same as no longer needing</w:t>
      </w:r>
      <w:r>
        <w:t xml:space="preserve"> it. When your team already knows you, what does another assessment add, and what does it cost? [3, 12]</w:t>
      </w:r>
    </w:p>
    <w:p w14:paraId="029FAE4F" w14:textId="77777777" w:rsidR="009C4A30" w:rsidRDefault="009E4B5F">
      <w:r>
        <w:t>A Coordinator of Community Services (CCS) helps a person plan, obtain services and advocate. POG is concerned that pressure to meet DDA requirements and</w:t>
      </w:r>
      <w:r>
        <w:t xml:space="preserve"> contain costs leaves less time to build trust. Maryland’s rules address the person’s needs and goals as well as cost. Our concern is about that balance, not the dedication of every CCS. [4]</w:t>
      </w:r>
    </w:p>
    <w:p w14:paraId="42EEB5FC" w14:textId="77777777" w:rsidR="009C4A30" w:rsidRDefault="009E4B5F">
      <w:pPr>
        <w:pStyle w:val="Heading1"/>
      </w:pPr>
      <w:r>
        <w:t>Relationships and the risk of relying on unpaid help</w:t>
      </w:r>
    </w:p>
    <w:p w14:paraId="5AC8619C" w14:textId="77777777" w:rsidR="009C4A30" w:rsidRDefault="009E4B5F">
      <w:r>
        <w:t>A friend, co</w:t>
      </w:r>
      <w:r>
        <w:t>worker or family member may choose to take you to an appointment or read your mail occasionally. POG does not accept “natural supports” as a reason to expect ongoing unpaid support. When help is needed consistently, POG’s position is that it should be paid</w:t>
      </w:r>
      <w:r>
        <w:t>. [12]</w:t>
      </w:r>
    </w:p>
    <w:p w14:paraId="54557F14" w14:textId="77777777" w:rsidR="009C4A30" w:rsidRDefault="009E4B5F">
      <w:r>
        <w:t>Relying on that help without pay can strain the relationship. What happens if the person becomes burned out and decides they cannot keep helping? The person receiving support could be left without essential help, putting their health and safety at r</w:t>
      </w:r>
      <w:r>
        <w:t>isk. This is about protecting relationships as well as securing reliable support. [12]</w:t>
      </w:r>
    </w:p>
    <w:p w14:paraId="6EF90132" w14:textId="77777777" w:rsidR="009C4A30" w:rsidRDefault="009E4B5F">
      <w:pPr>
        <w:pStyle w:val="Heading1"/>
      </w:pPr>
      <w:r>
        <w:t>Can people actually obtain the help they need?</w:t>
      </w:r>
    </w:p>
    <w:p w14:paraId="61AFE0AF" w14:textId="77777777" w:rsidR="009C4A30" w:rsidRDefault="009E4B5F">
      <w:r>
        <w:t xml:space="preserve">POG has received reports that requests for dedicated hours in the provider supported model are not being </w:t>
      </w:r>
      <w:r>
        <w:t>approved. These are personal accounts, not statewide data. Dedicated hours are extra approved staffing hours based on a person’s needs, beyond the support normally shared in a home. They often mean one or two direct support professionals helping one person</w:t>
      </w:r>
      <w:r>
        <w:t>. Some arrangements allow sharing. What happens when the person needs this help but cannot get it? [5]</w:t>
      </w:r>
    </w:p>
    <w:p w14:paraId="334B8DCA" w14:textId="77777777" w:rsidR="009C4A30" w:rsidRDefault="009E4B5F">
      <w:r>
        <w:t>Members also raise concerns about awake overnight help, when a direct support professional stays awake to respond at night, and technology replacing need</w:t>
      </w:r>
      <w:r>
        <w:t>ed human support. DDA asked me for a fading plan, meaning a plan to reduce my ongoing job support. My supports were eventually approved after I supplied my justifications. That outcome matters, but so does the unnecessary effort required to explain why I s</w:t>
      </w:r>
      <w:r>
        <w:t>till needed help. This is my experience, not a universal rule. [10]</w:t>
      </w:r>
    </w:p>
    <w:p w14:paraId="748B4DA7" w14:textId="77777777" w:rsidR="009C4A30" w:rsidRDefault="009E4B5F">
      <w:r>
        <w:t>National findings add context. ANCOR, a national provider advocacy organization, surveyed 524 disability service providers in 2026. Among respondents, 85% reported moderate or severe staff</w:t>
      </w:r>
      <w:r>
        <w:t>ing challenges, 55% turned away new referrals and 29% discontinued programs or services because of staffing challenges. These are national provider reports, not Maryland rates. [11]</w:t>
      </w:r>
    </w:p>
    <w:p w14:paraId="1F2F069E" w14:textId="77777777" w:rsidR="009C4A30" w:rsidRDefault="009E4B5F">
      <w:pPr>
        <w:pStyle w:val="Heading1"/>
        <w:pageBreakBefore/>
        <w:spacing w:before="0"/>
      </w:pPr>
      <w:r>
        <w:t>How can people respond when they cannot reach help?</w:t>
      </w:r>
    </w:p>
    <w:p w14:paraId="6A1D941E" w14:textId="77777777" w:rsidR="009C4A30" w:rsidRDefault="009E4B5F">
      <w:pPr>
        <w:spacing w:after="60"/>
      </w:pPr>
      <w:r>
        <w:t>After my brother’s Med</w:t>
      </w:r>
      <w:r>
        <w:t>icaid denial, he asked for a phone number for the professional handling his case so he could provide needed information. He was told he would not get it. Publicly funded programs ask for sensitive information. How can we respond in good faith when we canno</w:t>
      </w:r>
      <w:r>
        <w:t>t reach someone? I appreciate Senator Charles E. Sydnor III’s office helping us seek answers. [10]</w:t>
      </w:r>
    </w:p>
    <w:p w14:paraId="0BC82FFF" w14:textId="77777777" w:rsidR="009C4A30" w:rsidRDefault="009E4B5F">
      <w:pPr>
        <w:spacing w:after="60"/>
      </w:pPr>
      <w:r>
        <w:t>What happens when someone needs communication support, an interpreter, time to process information or help managing anxiety? People need a working contact ro</w:t>
      </w:r>
      <w:r>
        <w:t>ute, accessible instructions and a response, not anyone’s private phone number. Medicaid rules require accessible information and language assistance. Reports of appeals exceeding the usual 90 days need review under the applicable rules and exceptions. [10</w:t>
      </w:r>
      <w:r>
        <w:t>]</w:t>
      </w:r>
    </w:p>
    <w:p w14:paraId="19E60F19" w14:textId="77777777" w:rsidR="009C4A30" w:rsidRDefault="009E4B5F">
      <w:pPr>
        <w:pStyle w:val="Heading1"/>
        <w:spacing w:before="120"/>
      </w:pPr>
      <w:r>
        <w:t>Work, fair pay and the loss of needed benefits</w:t>
      </w:r>
    </w:p>
    <w:p w14:paraId="29DDF42C" w14:textId="77777777" w:rsidR="009C4A30" w:rsidRDefault="009E4B5F">
      <w:pPr>
        <w:spacing w:after="60"/>
      </w:pPr>
      <w:r>
        <w:t>POG championed Maryland’s Ken Capone Equal Employment Act, which phased out disability based subminimum wages. Our members wanted fair pay. Yet people tell us they fear losing Medicaid and other support if t</w:t>
      </w:r>
      <w:r>
        <w:t>hey work or earn more. Working does not automatically end every benefit, but the rules can be difficult to navigate. [6, 7]</w:t>
      </w:r>
    </w:p>
    <w:p w14:paraId="42ECF767" w14:textId="77777777" w:rsidR="009C4A30" w:rsidRDefault="009E4B5F">
      <w:pPr>
        <w:spacing w:after="60"/>
      </w:pPr>
      <w:r>
        <w:t>Maryland’s Employed Individuals with Disabilities (EID) Medicaid buy-in helps eligible people who work keep Medicaid despite earning</w:t>
      </w:r>
      <w:r>
        <w:t>s, with premiums when required. It ends at 65. Other coverage may be available, but different rules can pressure people to reduce work or retire. Legislation to remove the age limit has not been enacted. Medicare does not replace most ongoing personal care</w:t>
      </w:r>
      <w:r>
        <w:t>. [7]</w:t>
      </w:r>
    </w:p>
    <w:p w14:paraId="17DC05D5" w14:textId="77777777" w:rsidR="009C4A30" w:rsidRDefault="009E4B5F">
      <w:pPr>
        <w:spacing w:after="60"/>
      </w:pPr>
      <w:r>
        <w:t>Social Security’s full retirement age already reaches 67. A federal official’s 2025 comment about raising it further was later withdrawn, not enacted. Why does EID stop at 65 when people may need or want to keep working? [8]</w:t>
      </w:r>
    </w:p>
    <w:p w14:paraId="6ED886EE" w14:textId="77777777" w:rsidR="009C4A30" w:rsidRDefault="009E4B5F">
      <w:pPr>
        <w:pStyle w:val="Heading1"/>
        <w:spacing w:before="120"/>
      </w:pPr>
      <w:r>
        <w:t>A meaningful voice, not r</w:t>
      </w:r>
      <w:r>
        <w:t>esponsibility for every system problem</w:t>
      </w:r>
    </w:p>
    <w:p w14:paraId="03BD4E67" w14:textId="77777777" w:rsidR="009C4A30" w:rsidRDefault="009E4B5F">
      <w:pPr>
        <w:spacing w:after="60"/>
      </w:pPr>
      <w:r>
        <w:t>People with disabilities want to help shape services and policy, not simply be asked to accept decisions. We did not create the service system’s problems, yet too often we are asked to solve them while struggling to g</w:t>
      </w:r>
      <w:r>
        <w:t>et help ourselves. We welcome partnership. It must include a meaningful voice in decisions and shared responsibility for making the system work.</w:t>
      </w:r>
    </w:p>
    <w:p w14:paraId="1075754D" w14:textId="77777777" w:rsidR="009C4A30" w:rsidRDefault="009E4B5F">
      <w:pPr>
        <w:pStyle w:val="Heading1"/>
        <w:spacing w:before="120"/>
      </w:pPr>
      <w:r>
        <w:t>Count the full cost and listen to people’s experiences</w:t>
      </w:r>
    </w:p>
    <w:p w14:paraId="0521C113" w14:textId="77777777" w:rsidR="009C4A30" w:rsidRDefault="009E4B5F">
      <w:pPr>
        <w:spacing w:after="60"/>
      </w:pPr>
      <w:r>
        <w:t>Budgets have limits. But what happens when providers, fa</w:t>
      </w:r>
      <w:r>
        <w:t>milies and people who self-direct cannot arrange needed help? Could people enter institutions or nursing homes even when community living is possible? What would that cost, including lost employment for people with disabilities and family members providing</w:t>
      </w:r>
      <w:r>
        <w:t xml:space="preserve"> unpaid support?</w:t>
      </w:r>
    </w:p>
    <w:p w14:paraId="7AF8AEEB" w14:textId="77777777" w:rsidR="009C4A30" w:rsidRDefault="009E4B5F">
      <w:pPr>
        <w:spacing w:after="60"/>
      </w:pPr>
      <w:r>
        <w:t>A federal study found lower average spending after participants moved into the community, although not every arrangement costs less. Comparing the cost of EID expansion and other supports with the cost of losing them requires that fuller p</w:t>
      </w:r>
      <w:r>
        <w:t>icture. Rights and dignity do not depend on employment or financial return. [9]</w:t>
      </w:r>
    </w:p>
    <w:p w14:paraId="315B7657" w14:textId="77777777" w:rsidR="009C4A30" w:rsidRDefault="009E4B5F">
      <w:pPr>
        <w:spacing w:after="60"/>
      </w:pPr>
      <w:r>
        <w:t>POG encourages people with disabilities, families, providers and supporters to tell their stories, sharing only what they choose to make public. We will bring these questions t</w:t>
      </w:r>
      <w:r>
        <w:t>o state, local and national leaders regardless of party. Respectful self-advocacy does not require silence.</w:t>
      </w:r>
    </w:p>
    <w:p w14:paraId="1CD7C2F2" w14:textId="77777777" w:rsidR="009C4A30" w:rsidRDefault="009E4B5F">
      <w:pPr>
        <w:keepLines/>
        <w:spacing w:before="60" w:after="0"/>
      </w:pPr>
      <w:r>
        <w:rPr>
          <w:rFonts w:eastAsia="Times New Roman" w:cs="Times New Roman"/>
          <w:b/>
          <w:sz w:val="24"/>
        </w:rPr>
        <w:t xml:space="preserve">Contact POG | Phone: </w:t>
      </w:r>
      <w:hyperlink r:id="rId9" w:history="1">
        <w:r>
          <w:rPr>
            <w:sz w:val="24"/>
            <w:u w:val="single"/>
          </w:rPr>
          <w:t>443-492-9499</w:t>
        </w:r>
      </w:hyperlink>
      <w:r>
        <w:rPr>
          <w:rFonts w:eastAsia="Times New Roman" w:cs="Times New Roman"/>
          <w:b/>
          <w:sz w:val="24"/>
        </w:rPr>
        <w:t xml:space="preserve"> | Email: </w:t>
      </w:r>
      <w:hyperlink r:id="rId10" w:history="1">
        <w:r>
          <w:rPr>
            <w:sz w:val="24"/>
            <w:u w:val="single"/>
          </w:rPr>
          <w:t>info@pogmd.org</w:t>
        </w:r>
      </w:hyperlink>
    </w:p>
    <w:sectPr w:rsidR="009C4A30" w:rsidSect="00034616">
      <w:headerReference w:type="default" r:id="rId11"/>
      <w:footerReference w:type="default" r:id="rId12"/>
      <w:pgSz w:w="12240" w:h="15840"/>
      <w:pgMar w:top="936" w:right="1080" w:bottom="936"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8E3AB" w14:textId="77777777" w:rsidR="009E4B5F" w:rsidRDefault="009E4B5F">
      <w:pPr>
        <w:spacing w:after="0" w:line="240" w:lineRule="auto"/>
      </w:pPr>
      <w:r>
        <w:separator/>
      </w:r>
    </w:p>
  </w:endnote>
  <w:endnote w:type="continuationSeparator" w:id="0">
    <w:p w14:paraId="4CDACC5C" w14:textId="77777777" w:rsidR="009E4B5F" w:rsidRDefault="009E4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F2EEF" w14:textId="77777777" w:rsidR="009C4A30" w:rsidRDefault="009E4B5F">
    <w:pPr>
      <w:spacing w:after="0" w:line="240" w:lineRule="auto"/>
      <w:jc w:val="center"/>
    </w:pPr>
    <w:r>
      <w:rPr>
        <w:sz w:val="21"/>
      </w:rPr>
      <w:t>People on the Go Maryland | 443-492-9499 | info@pogmd.org</w:t>
    </w:r>
  </w:p>
  <w:p w14:paraId="5C286DB3" w14:textId="77777777" w:rsidR="009C4A30" w:rsidRDefault="009E4B5F">
    <w:pPr>
      <w:spacing w:after="0" w:line="240" w:lineRule="auto"/>
      <w:jc w:val="center"/>
    </w:pPr>
    <w:r>
      <w:rPr>
        <w:sz w:val="21"/>
      </w:rPr>
      <w:t xml:space="preserve">Page </w:t>
    </w:r>
    <w:r>
      <w:rPr>
        <w:sz w:val="21"/>
      </w:rPr>
      <w:fldChar w:fldCharType="begin"/>
    </w:r>
    <w:r>
      <w:rPr>
        <w:sz w:val="21"/>
      </w:rPr>
      <w:instrText xml:space="preserve"> PAGE </w:instrText>
    </w:r>
    <w:r>
      <w:rPr>
        <w:sz w:val="21"/>
      </w:rPr>
      <w:fldChar w:fldCharType="separate"/>
    </w:r>
    <w:r>
      <w:rPr>
        <w:sz w:val="21"/>
      </w:rPr>
      <w:t>1</w:t>
    </w:r>
    <w:r>
      <w:rPr>
        <w:sz w:val="21"/>
      </w:rPr>
      <w:fldChar w:fldCharType="end"/>
    </w:r>
    <w:r>
      <w:rPr>
        <w:sz w:val="21"/>
      </w:rPr>
      <w:t xml:space="preserve"> of </w:t>
    </w:r>
    <w:r>
      <w:rPr>
        <w:sz w:val="21"/>
      </w:rPr>
      <w:fldChar w:fldCharType="begin"/>
    </w:r>
    <w:r>
      <w:rPr>
        <w:sz w:val="21"/>
      </w:rPr>
      <w:instrText xml:space="preserve"> NUMPAGES </w:instrText>
    </w:r>
    <w:r>
      <w:rPr>
        <w:sz w:val="21"/>
      </w:rPr>
      <w:fldChar w:fldCharType="separate"/>
    </w:r>
    <w:r>
      <w:rPr>
        <w:sz w:val="21"/>
      </w:rPr>
      <w:t>1</w:t>
    </w:r>
    <w:r>
      <w:rPr>
        <w:sz w:val="21"/>
      </w:rPr>
      <w:fldChar w:fldCharType="end"/>
    </w:r>
    <w:r>
      <w:rPr>
        <w:sz w:val="21"/>
      </w:rPr>
      <w:t xml:space="preserve"> | References: separate Research and Resources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66296" w14:textId="77777777" w:rsidR="009E4B5F" w:rsidRDefault="009E4B5F">
      <w:pPr>
        <w:spacing w:after="0" w:line="240" w:lineRule="auto"/>
      </w:pPr>
      <w:r>
        <w:separator/>
      </w:r>
    </w:p>
  </w:footnote>
  <w:footnote w:type="continuationSeparator" w:id="0">
    <w:p w14:paraId="6CBCF507" w14:textId="77777777" w:rsidR="009E4B5F" w:rsidRDefault="009E4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33A0B" w14:textId="77777777" w:rsidR="009C4A30" w:rsidRDefault="009E4B5F">
    <w:pPr>
      <w:pStyle w:val="Header"/>
    </w:pPr>
    <w:r>
      <w:t>People on the Go Maryland | Policy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1A33C165-EB7C-4BE7-A18E-33CFAA085D0D}"/>
    <w:docVar w:name="dgnword-eventsink" w:val="2333244406016"/>
  </w:docVars>
  <w:rsids>
    <w:rsidRoot w:val="00B47730"/>
    <w:rsid w:val="00034616"/>
    <w:rsid w:val="0006063C"/>
    <w:rsid w:val="0015074B"/>
    <w:rsid w:val="0029639D"/>
    <w:rsid w:val="00326F90"/>
    <w:rsid w:val="00411550"/>
    <w:rsid w:val="009C4A30"/>
    <w:rsid w:val="009E4B5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0E51E4"/>
  <w14:defaultImageDpi w14:val="300"/>
  <w15:docId w15:val="{90D98739-1D3E-41B8-A0EF-3890681F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uppressAutoHyphens/>
      <w:spacing w:after="100" w:line="254" w:lineRule="auto"/>
    </w:pPr>
    <w:rPr>
      <w:rFonts w:ascii="Times New Roman" w:hAnsi="Times New Roman"/>
      <w:color w:val="000000"/>
      <w:sz w:val="25"/>
    </w:rPr>
  </w:style>
  <w:style w:type="paragraph" w:styleId="Heading1">
    <w:name w:val="heading 1"/>
    <w:basedOn w:val="Normal"/>
    <w:next w:val="Normal"/>
    <w:link w:val="Heading1Char"/>
    <w:uiPriority w:val="9"/>
    <w:qFormat/>
    <w:rsid w:val="00FC693F"/>
    <w:pPr>
      <w:keepNext/>
      <w:keepLines/>
      <w:spacing w:before="160" w:after="80"/>
      <w:outlineLvl w:val="0"/>
    </w:pPr>
    <w:rPr>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21"/>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pogmd.org" TargetMode="External"/><Relationship Id="rId4" Type="http://schemas.openxmlformats.org/officeDocument/2006/relationships/settings" Target="settings.xml"/><Relationship Id="rId9" Type="http://schemas.openxmlformats.org/officeDocument/2006/relationships/hyperlink" Target="tel:+1443492949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1368</Words>
  <Characters>7800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v. Kennedy, Community Living, and Accountability in Maryland</dc:title>
  <dc:subject>People on the Go Maryland | October 1, 2026</dc:subject>
  <dc:creator>Mat Rice, Executive Director</dc:creator>
  <cp:keywords>People on the Go Maryland, community living, self advocacy</cp:keywords>
  <dc:description/>
  <cp:lastModifiedBy>Mat Rice</cp:lastModifiedBy>
  <cp:revision>1</cp:revision>
  <dcterms:created xsi:type="dcterms:W3CDTF">2026-10-01T17:00:00Z</dcterms:created>
  <dcterms:modified xsi:type="dcterms:W3CDTF">2026-10-01T17:00:00Z</dcterms:modified>
  <cp:category/>
</cp:coreProperties>
</file>