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widowControl/>
        <w:spacing w:after="120" w:line="240" w:lineRule="auto"/>
        <w:jc w:val="center"/>
      </w:pPr>
      <w:r>
        <w:rPr>
          <w:b/>
          <w:sz w:val="34"/>
        </w:rPr>
        <w:t>People on the Go Maryland (POG)</w:t>
      </w:r>
    </w:p>
    <w:p>
      <w:pPr>
        <w:keepNext/>
        <w:keepLines/>
        <w:widowControl/>
        <w:spacing w:after="100" w:line="240" w:lineRule="auto"/>
        <w:jc w:val="center"/>
      </w:pPr>
      <w:r>
        <w:rPr>
          <w:b/>
          <w:sz w:val="44"/>
        </w:rPr>
        <w:t>Research and Resources</w:t>
      </w:r>
    </w:p>
    <w:p>
      <w:pPr>
        <w:keepNext/>
        <w:keepLines/>
        <w:widowControl/>
        <w:spacing w:after="80" w:line="240" w:lineRule="auto"/>
        <w:jc w:val="center"/>
      </w:pPr>
      <w:r>
        <w:rPr>
          <w:b w:val="0"/>
          <w:sz w:val="24"/>
        </w:rPr>
        <w:t>Companion to the policy statement | October 1, 2026</w:t>
      </w:r>
    </w:p>
    <w:p>
      <w:pPr>
        <w:keepNext/>
        <w:keepLines/>
        <w:widowControl/>
        <w:spacing w:after="180" w:line="240" w:lineRule="auto"/>
        <w:jc w:val="center"/>
      </w:pPr>
      <w:r>
        <w:rPr>
          <w:b/>
          <w:sz w:val="24"/>
        </w:rPr>
        <w:t>By Mat Rice, Executive Director</w:t>
      </w:r>
    </w:p>
    <w:p>
      <w:pPr>
        <w:keepLines/>
        <w:widowControl/>
      </w:pPr>
      <w:r>
        <w:t>Numbered sections match the policy statement. Underlined source titles are clickable links. Public rules and research are distinguished from Mat Rice’s personal accounts and POG’s concerns. This is general information, not an individual legal or benefits determination.</w:t>
      </w:r>
    </w:p>
    <w:p>
      <w:pPr>
        <w:pStyle w:val="Heading1"/>
        <w:keepLines/>
        <w:widowControl/>
      </w:pPr>
      <w:r>
        <w:t>1. Texas v. Kennedy and the protections that remain</w:t>
      </w:r>
    </w:p>
    <w:p>
      <w:pPr>
        <w:keepLines/>
        <w:widowControl/>
      </w:pPr>
      <w:r>
        <w:t>Court record: Texas v. Kennedy, No. 5:24-cv-00225-H (N.D. Tex.), Document 125, September 23, 2026, pages 1 to 3. The court granted the parties’ joint request for final judgment. It vacated specified parts of the U.S. Department of Health and Human Services (HHS) Section 504 regulations nationwide.</w:t>
      </w:r>
    </w:p>
    <w:p>
      <w:pPr>
        <w:keepLines/>
        <w:widowControl/>
      </w:pPr>
      <w:r>
        <w:t>The affected provisions are the definition of “most integrated setting” in 45 C.F.R. § 84.10; the final sentence of § 84.22(b); §§ 84.43(d) and 84.68(d); all of § 84.76; and the final sentence of § 84.93(b). The order does not require Maryland service cuts or institutional placements.</w:t>
      </w:r>
    </w:p>
    <w:p>
      <w:pPr>
        <w:keepLines/>
        <w:widowControl/>
      </w:pPr>
      <w:r>
        <w:t>Section 504, the Americans with Disabilities Act (ADA), the Individuals with Disabilities Education Act (IDEA) and the Supreme Court’s Olmstead decision were not repealed or overturned. Olmstead addresses unjustified segregation. Its application considers whether community services are appropriate, whether the person opposes them and whether they can be reasonably accommodated considering state resources and others’ needs. It is not an unlimited entitlement to any requested service.</w:t>
      </w:r>
    </w:p>
    <w:p>
      <w:pPr>
        <w:keepLines/>
        <w:widowControl/>
        <w:spacing w:after="60" w:line="240" w:lineRule="auto"/>
      </w:pPr>
      <w:hyperlink r:id="rId11">
        <w:r>
          <w:rPr>
            <w:rFonts w:ascii="Times New Roman" w:hAnsi="Times New Roman"/>
            <w:sz w:val="23"/>
            <w:color w:val="000000"/>
            <w:u w:val="single"/>
          </w:rPr>
          <w:t>Order and final judgment, September 23, 2026 (court document hosted by AAPD)</w:t>
        </w:r>
      </w:hyperlink>
    </w:p>
    <w:p>
      <w:pPr>
        <w:keepLines/>
        <w:widowControl/>
        <w:spacing w:after="60" w:line="240" w:lineRule="auto"/>
      </w:pPr>
      <w:hyperlink r:id="rId12">
        <w:r>
          <w:rPr>
            <w:rFonts w:ascii="Times New Roman" w:hAnsi="Times New Roman"/>
            <w:sz w:val="23"/>
            <w:color w:val="000000"/>
            <w:u w:val="single"/>
          </w:rPr>
          <w:t>U.S. Department of Justice: Community Integration and Olmstead</w:t>
        </w:r>
      </w:hyperlink>
    </w:p>
    <w:p>
      <w:pPr>
        <w:keepLines/>
        <w:widowControl/>
        <w:spacing w:after="60" w:line="240" w:lineRule="auto"/>
      </w:pPr>
      <w:hyperlink r:id="rId13">
        <w:r>
          <w:rPr>
            <w:rFonts w:ascii="Times New Roman" w:hAnsi="Times New Roman"/>
            <w:sz w:val="23"/>
            <w:color w:val="000000"/>
            <w:u w:val="single"/>
          </w:rPr>
          <w:t>U.S. Department of Justice: Guide to Disability Rights Laws</w:t>
        </w:r>
      </w:hyperlink>
    </w:p>
    <w:p>
      <w:pPr>
        <w:pStyle w:val="Heading1"/>
        <w:keepLines/>
        <w:widowControl/>
      </w:pPr>
      <w:r>
        <w:t>2. Service models, your voice, privacy and asking for the rule</w:t>
      </w:r>
    </w:p>
    <w:p>
      <w:pPr>
        <w:keepLines/>
        <w:widowControl/>
      </w:pPr>
      <w:r>
        <w:t>Service models: An agency employs direct support professionals in the provider model. In self-direction, the person has employer and budget responsibilities. DDA’s Self-Directed Services Manual, revised May 11, 2026, section V.A, identifies the participant or designated representative as the employer of record: the boss, with legal responsibilities.</w:t>
      </w:r>
    </w:p>
    <w:p>
      <w:pPr>
        <w:keepLines/>
        <w:widowControl/>
        <w:spacing w:after="60" w:line="240" w:lineRule="auto"/>
      </w:pPr>
      <w:hyperlink r:id="rId14">
        <w:r>
          <w:rPr>
            <w:rFonts w:ascii="Times New Roman" w:hAnsi="Times New Roman"/>
            <w:sz w:val="23"/>
            <w:color w:val="000000"/>
            <w:u w:val="single"/>
          </w:rPr>
          <w:t>DDA Self-Directed Services Manual, section V.A (PDF)</w:t>
        </w:r>
      </w:hyperlink>
    </w:p>
    <w:p>
      <w:pPr>
        <w:keepLines/>
        <w:widowControl/>
      </w:pPr>
      <w:r>
        <w:t>Planning rights: 42 C.F.R. § 441.301(c)(1) puts the person in the lead, with an authorized representative when applicable. Subsections (i), (ii), (iv) and (v) address chosen participants, informed decisions, accessible explanations and resolving disagreements. Section (c)(4)(iii) protects privacy, dignity and respect in covered community settings.</w:t>
      </w:r>
    </w:p>
    <w:p>
      <w:pPr>
        <w:keepLines/>
        <w:widowControl/>
      </w:pPr>
      <w:r>
        <w:t>DDA’s planning page and Participant Rights and Responsibilities document, revised March 2, 2026, page 3, item 3, describe a planning team that includes the CCS and other people chosen by the person.</w:t>
      </w:r>
    </w:p>
    <w:p>
      <w:pPr>
        <w:keepLines/>
        <w:widowControl/>
        <w:spacing w:after="60" w:line="240" w:lineRule="auto"/>
      </w:pPr>
      <w:hyperlink r:id="rId15">
        <w:r>
          <w:rPr>
            <w:rFonts w:ascii="Times New Roman" w:hAnsi="Times New Roman"/>
            <w:sz w:val="23"/>
            <w:color w:val="000000"/>
            <w:u w:val="single"/>
          </w:rPr>
          <w:t>Federal planning and community setting requirements: 42 C.F.R. § 441.301(c)</w:t>
        </w:r>
      </w:hyperlink>
    </w:p>
    <w:p>
      <w:pPr>
        <w:keepLines/>
        <w:widowControl/>
        <w:spacing w:after="60" w:line="240" w:lineRule="auto"/>
      </w:pPr>
      <w:hyperlink r:id="rId16">
        <w:r>
          <w:rPr>
            <w:rFonts w:ascii="Times New Roman" w:hAnsi="Times New Roman"/>
            <w:sz w:val="23"/>
            <w:color w:val="000000"/>
            <w:u w:val="single"/>
          </w:rPr>
          <w:t>DDA: Person Centered Planning</w:t>
        </w:r>
      </w:hyperlink>
    </w:p>
    <w:p>
      <w:pPr>
        <w:keepLines/>
        <w:widowControl/>
        <w:spacing w:after="60" w:line="240" w:lineRule="auto"/>
      </w:pPr>
      <w:hyperlink r:id="rId17">
        <w:r>
          <w:rPr>
            <w:rFonts w:ascii="Times New Roman" w:hAnsi="Times New Roman"/>
            <w:sz w:val="23"/>
            <w:color w:val="000000"/>
            <w:u w:val="single"/>
          </w:rPr>
          <w:t>DDA Participant Rights and Responsibilities, page 3, item 3 (PDF)</w:t>
        </w:r>
      </w:hyperlink>
    </w:p>
    <w:p>
      <w:pPr>
        <w:keepLines/>
        <w:widowControl/>
      </w:pPr>
      <w:r>
        <w:t>Privacy limits: HIPAA, the Health Insurance Portability and Accountability Act, protects certain health information. It permits covered organizations to share some information without separate authorization for treatment, payment, health care operations and legally authorized oversight. Other privacy laws may also apply.</w:t>
      </w:r>
    </w:p>
    <w:p>
      <w:pPr>
        <w:keepLines/>
        <w:widowControl/>
      </w:pPr>
      <w:r>
        <w:t>Where HIPAA’s “minimum necessary” rule applies, information use and disclosure must be reasonably limited to the purpose. Exceptions include certain treatment disclosures and disclosures required by law. Service enrollment is not a universal waiver of privacy.</w:t>
      </w:r>
    </w:p>
    <w:p>
      <w:pPr>
        <w:keepLines/>
        <w:widowControl/>
      </w:pPr>
      <w:r>
        <w:t>Broader self advocacy message: POG applies its message about meetings and personal information across service systems, not only the Supports Intensity Scale (SIS). Legal protections differ by program and meeting. These sources do not give an unconditional veto over every legally required participant or disclosure. People can ask for the rule and how to raise concerns.</w:t>
      </w:r>
    </w:p>
    <w:p>
      <w:pPr>
        <w:keepLines/>
        <w:widowControl/>
        <w:spacing w:after="60" w:line="240" w:lineRule="auto"/>
      </w:pPr>
      <w:hyperlink r:id="rId18">
        <w:r>
          <w:rPr>
            <w:rFonts w:ascii="Times New Roman" w:hAnsi="Times New Roman"/>
            <w:sz w:val="23"/>
            <w:color w:val="000000"/>
            <w:u w:val="single"/>
          </w:rPr>
          <w:t>HHS: Summary of the HIPAA Privacy Rule, permitted disclosures and minimum necessary use</w:t>
        </w:r>
      </w:hyperlink>
    </w:p>
    <w:p>
      <w:pPr>
        <w:keepLines/>
        <w:widowControl/>
      </w:pPr>
      <w:r>
        <w:t>Asking for the rule is not limited to assessments. The legal basis means the law, regulation or written policy behind a requirement. Under 42 C.F.R. § 435.905(a) and (b), Medicaid must provide accessible explanations of eligibility, services, rights and responsibilities, with free language assistance and disability related aids. Section 10 includes communication resources.</w:t>
      </w:r>
    </w:p>
    <w:p>
      <w:pPr>
        <w:keepLines/>
        <w:widowControl/>
      </w:pPr>
      <w:r>
        <w:t>Written decisions: Notices covered by 42 C.F.R. § 431.210 must explain the action, reasons, supporting regulations, hearing rights and when benefits may continue during an appeal. This is a specific requirement, not a rule that every informal request across all service systems requires the same notice.</w:t>
      </w:r>
    </w:p>
    <w:p>
      <w:pPr>
        <w:keepLines/>
        <w:widowControl/>
        <w:spacing w:after="80"/>
      </w:pPr>
      <w:hyperlink r:id="rId39">
        <w:r>
          <w:rPr>
            <w:color w:val="000000"/>
            <w:u w:val="single"/>
            <w:rFonts w:ascii="Times New Roman" w:hAnsi="Times New Roman"/>
          </w:rPr>
          <w:t>Federal Medicaid notice requirements: 42 C.F.R. § 431.210</w:t>
        </w:r>
      </w:hyperlink>
    </w:p>
    <w:p>
      <w:pPr>
        <w:pStyle w:val="Heading1"/>
        <w:keepLines/>
        <w:widowControl/>
      </w:pPr>
      <w:r>
        <w:t>3. SIS: the existing public policy and the questions it raises</w:t>
      </w:r>
    </w:p>
    <w:p>
      <w:pPr>
        <w:keepLines/>
        <w:widowControl/>
      </w:pPr>
      <w:r>
        <w:t>Public policy: DDA describes SIS as a required interview about support needs, with a trained Telligen interviewer and at least two respondents who know the person well. Its FAQ gives an average interview length of two to two and a half hours.</w:t>
      </w:r>
    </w:p>
    <w:p>
      <w:pPr>
        <w:keepLines/>
        <w:widowControl/>
      </w:pPr>
      <w:r>
        <w:t>SIS informs planning but is not the person centered planning meeting. It has its own participation requirements. Asking for an understandable explanation does not make a required assessment optional.</w:t>
      </w:r>
    </w:p>
    <w:p>
      <w:pPr>
        <w:keepLines/>
        <w:widowControl/>
      </w:pPr>
      <w:r>
        <w:t>Funding and services: DDA says SIS information helps establish staffing support alongside other factors and provides a basis for linking funding to needs. This does not support a blanket promise of no effect on services. It also does not prove an automatic funding formula or a reduction in any member’s case.</w:t>
      </w:r>
    </w:p>
    <w:p>
      <w:pPr>
        <w:keepLines/>
        <w:widowControl/>
      </w:pPr>
      <w:r>
        <w:t>Member reports: Mat Rice reports that some POG members have had services that work for years but are now being told to take SIS for the first time. They report assurances that it will not affect funding or service levels. These accounts, the exact assurances and the reasons for assessment now were not independently verified.</w:t>
      </w:r>
    </w:p>
    <w:p>
      <w:pPr>
        <w:keepLines/>
        <w:widowControl/>
      </w:pPr>
      <w:r>
        <w:t>Before declining a required step, ask your service coordinator or CCS for the rule, communication support, complaint process and possible consequences. DDA’s FAQ explains obtaining results and raising concerns through the CCS. Questioning a requirement does not withdraw a service request. No current statewide cost for SIS and everyone’s related time was established.</w:t>
      </w:r>
    </w:p>
    <w:p>
      <w:pPr>
        <w:keepLines/>
        <w:widowControl/>
        <w:spacing w:after="60" w:line="240" w:lineRule="auto"/>
      </w:pPr>
      <w:hyperlink r:id="rId19">
        <w:r>
          <w:rPr>
            <w:rFonts w:ascii="Times New Roman" w:hAnsi="Times New Roman"/>
            <w:sz w:val="23"/>
            <w:color w:val="000000"/>
            <w:u w:val="single"/>
          </w:rPr>
          <w:t>DDA: Supports Intensity Scale overview and Frequently Asked Questions</w:t>
        </w:r>
      </w:hyperlink>
    </w:p>
    <w:p>
      <w:pPr>
        <w:keepLines/>
        <w:widowControl/>
      </w:pPr>
      <w:r>
        <w:t>Publisher’s explanation: The American Association on Intellectual and Developmental Disabilities (AAIDD) publishes SIS. It distinguishes support needs from independently performed skills and says SIS can inform resource allocation. This describes the tool, not Maryland’s decision in any individual case.</w:t>
      </w:r>
    </w:p>
    <w:p>
      <w:pPr>
        <w:keepLines/>
        <w:widowControl/>
        <w:spacing w:after="80"/>
      </w:pPr>
      <w:hyperlink r:id="rId40">
        <w:r>
          <w:rPr>
            <w:color w:val="000000"/>
            <w:u w:val="single"/>
            <w:rFonts w:ascii="Times New Roman" w:hAnsi="Times New Roman"/>
          </w:rPr>
          <w:t>AAIDD: SIS FAQs, support needs and resource allocation</w:t>
        </w:r>
      </w:hyperlink>
    </w:p>
    <w:p>
      <w:pPr>
        <w:keepLines/>
        <w:widowControl/>
      </w:pPr>
      <w:r>
        <w:t>POG’s hypothetical question: Could a professional interpret successful support as evidence that paid help is unnecessary or replaceable by unpaid help? This is not an allegation about a named reviewer or a claim that SIS is simply an observation of daily activities. The question distinguishes needing less support from succeeding because support works. See section 12.</w:t>
      </w:r>
    </w:p>
    <w:p>
      <w:pPr>
        <w:pStyle w:val="Heading1"/>
        <w:keepLines/>
        <w:widowControl/>
      </w:pPr>
      <w:r>
        <w:t>4. CCS relationships and responsibilities</w:t>
      </w:r>
    </w:p>
    <w:p>
      <w:pPr>
        <w:keepLines/>
        <w:widowControl/>
      </w:pPr>
      <w:r>
        <w:t>COMAR means the Code of Maryland Regulations. COMAR 10.09.48.06(D) requires a plan directed by the person that addresses needs, preferences, goals and outcomes in an integrated setting and in a cost effective manner. Subsections (E) and (F) address access to services, education about advocacy, monitoring and unmet needs.</w:t>
      </w:r>
    </w:p>
    <w:p>
      <w:pPr>
        <w:keepLines/>
        <w:widowControl/>
      </w:pPr>
      <w:r>
        <w:t>Federal conflict of interest safeguards appear in 42 C.F.R. § 441.301(c)(1)(vi). They generally separate case management and planning from the provision of the person’s direct services, with a limited exception and safeguards. POG’s concern about compliance pressure crowding out relationships is an organizational concern, not evidence that all CCS staff neglect their duties or that saving money is DDA’s only motive.</w:t>
      </w:r>
    </w:p>
    <w:p>
      <w:pPr>
        <w:keepLines/>
        <w:widowControl/>
        <w:spacing w:after="60" w:line="240" w:lineRule="auto"/>
      </w:pPr>
      <w:hyperlink r:id="rId20">
        <w:r>
          <w:rPr>
            <w:rFonts w:ascii="Times New Roman" w:hAnsi="Times New Roman"/>
            <w:sz w:val="23"/>
            <w:color w:val="000000"/>
            <w:u w:val="single"/>
          </w:rPr>
          <w:t>Maryland CCS responsibilities: COMAR 10.09.48.06(D), (E) and (F)</w:t>
        </w:r>
      </w:hyperlink>
    </w:p>
    <w:p>
      <w:pPr>
        <w:keepLines/>
        <w:widowControl/>
        <w:spacing w:after="60" w:line="240" w:lineRule="auto"/>
      </w:pPr>
      <w:hyperlink r:id="rId15">
        <w:r>
          <w:rPr>
            <w:rFonts w:ascii="Times New Roman" w:hAnsi="Times New Roman"/>
            <w:sz w:val="23"/>
            <w:color w:val="000000"/>
            <w:u w:val="single"/>
          </w:rPr>
          <w:t>Federal safeguards against conflicts of interest in planning</w:t>
        </w:r>
      </w:hyperlink>
    </w:p>
    <w:p>
      <w:pPr>
        <w:pStyle w:val="Heading1"/>
        <w:keepLines/>
        <w:widowControl/>
      </w:pPr>
      <w:r>
        <w:t>5. Dedicated hours in the provider model</w:t>
      </w:r>
    </w:p>
    <w:p>
      <w:pPr>
        <w:keepLines/>
        <w:widowControl/>
      </w:pPr>
      <w:r>
        <w:t>Dedicated hours are additional approved staffing hours based on individual need, beyond staffing normally shared in residential services. One to one means one direct support professional assisting one person; two to one means two direct support professionals assisting one person. DDA’s February 3, 2026 planning manual, pages 24 to 26 in the version linked below, addresses medical, behavioral and community participation needs, documentation and use of shared hours.</w:t>
      </w:r>
    </w:p>
    <w:p>
      <w:pPr>
        <w:keepLines/>
        <w:widowControl/>
      </w:pPr>
      <w:r>
        <w:t>The publicly posted July 1, 2026 Community Living Group Home waiver proposal, pages 2 and 3, discusses staffing requests, behavioral or nursing plans and limited circumstances for sharing dedicated hours. It is labeled a proposal. The sources reviewed do not establish final approval or the effective date of every proposed change; a proposal is not interchangeable with a binding rule.</w:t>
      </w:r>
    </w:p>
    <w:p>
      <w:pPr>
        <w:keepLines/>
        <w:widowControl/>
      </w:pPr>
      <w:r>
        <w:t>Reports received by POG: Mat Rice reports that POG is hearing that requests for dedicated hours in the provider supported model are not being approved. These are accounts shared with POG, not a statewide survey or independently reviewed case decisions. They do not establish how often requests are denied or why. DDA data on requests, approvals, denials, delays, reasons and appeal outcomes would help show the broader picture.</w:t>
      </w:r>
    </w:p>
    <w:p>
      <w:pPr>
        <w:keepLines/>
        <w:widowControl/>
        <w:spacing w:after="60" w:line="240" w:lineRule="auto"/>
      </w:pPr>
      <w:hyperlink r:id="rId21">
        <w:r>
          <w:rPr>
            <w:rFonts w:ascii="Times New Roman" w:hAnsi="Times New Roman"/>
            <w:sz w:val="23"/>
            <w:color w:val="000000"/>
            <w:u w:val="single"/>
          </w:rPr>
          <w:t>DDA planning manual, February 3, 2026, pages 24 to 26 (PDF)</w:t>
        </w:r>
      </w:hyperlink>
    </w:p>
    <w:p>
      <w:pPr>
        <w:keepLines/>
        <w:widowControl/>
        <w:spacing w:after="60" w:line="240" w:lineRule="auto"/>
      </w:pPr>
      <w:hyperlink r:id="rId22">
        <w:r>
          <w:rPr>
            <w:rFonts w:ascii="Times New Roman" w:hAnsi="Times New Roman"/>
            <w:sz w:val="23"/>
            <w:color w:val="000000"/>
            <w:u w:val="single"/>
          </w:rPr>
          <w:t>Public group home waiver proposal, July 1, 2026, pages 2 and 3 (PDF)</w:t>
        </w:r>
      </w:hyperlink>
    </w:p>
    <w:p>
      <w:pPr>
        <w:keepLines/>
        <w:widowControl/>
        <w:spacing w:after="60" w:line="240" w:lineRule="auto"/>
      </w:pPr>
      <w:hyperlink r:id="rId23">
        <w:r>
          <w:rPr>
            <w:rFonts w:ascii="Times New Roman" w:hAnsi="Times New Roman"/>
            <w:sz w:val="23"/>
            <w:color w:val="000000"/>
            <w:u w:val="single"/>
          </w:rPr>
          <w:t>DDA: Community Pathways Waiver Amendment 4 submission page</w:t>
        </w:r>
      </w:hyperlink>
    </w:p>
    <w:p>
      <w:pPr>
        <w:pStyle w:val="Heading1"/>
        <w:keepLines/>
        <w:widowControl/>
      </w:pPr>
      <w:r>
        <w:t>6. Fair wages and the Ken Capone Equal Employment Act</w:t>
      </w:r>
    </w:p>
    <w:p>
      <w:pPr>
        <w:keepLines/>
        <w:widowControl/>
      </w:pPr>
      <w:r>
        <w:t>Maryland enacted the Ken Capone Equal Employment Act in 2016, including Senate Bill 417, Chapter 521. It phased out disability based subminimum wages in covered work activity centers and sheltered workshops. Its scope is not every separate minimum wage exemption.</w:t>
      </w:r>
    </w:p>
    <w:p>
      <w:pPr>
        <w:keepLines/>
        <w:widowControl/>
      </w:pPr>
      <w:r>
        <w:t>The LEAD Center’s account identifies People on the Go, Ken Capone and coalition partners as leaders of the effort. The statement’s explanation of members seeking fair pay reflects that history and Mat Rice’s account of POG’s work.</w:t>
      </w:r>
    </w:p>
    <w:p>
      <w:pPr>
        <w:keepLines/>
        <w:widowControl/>
        <w:spacing w:after="60" w:line="240" w:lineRule="auto"/>
      </w:pPr>
      <w:hyperlink r:id="rId24">
        <w:r>
          <w:rPr>
            <w:rFonts w:ascii="Times New Roman" w:hAnsi="Times New Roman"/>
            <w:sz w:val="23"/>
            <w:color w:val="000000"/>
            <w:u w:val="single"/>
          </w:rPr>
          <w:t>Maryland General Assembly: SB 417 (2016), Chapter 521 and bill history</w:t>
        </w:r>
      </w:hyperlink>
    </w:p>
    <w:p>
      <w:pPr>
        <w:keepLines/>
        <w:widowControl/>
        <w:spacing w:after="60" w:line="240" w:lineRule="auto"/>
      </w:pPr>
      <w:hyperlink r:id="rId25">
        <w:r>
          <w:rPr>
            <w:rFonts w:ascii="Times New Roman" w:hAnsi="Times New Roman"/>
            <w:sz w:val="23"/>
            <w:color w:val="000000"/>
            <w:u w:val="single"/>
          </w:rPr>
          <w:t>LEAD Center: Ken Capone Equal Employment Act and coalition history</w:t>
        </w:r>
      </w:hyperlink>
    </w:p>
    <w:p>
      <w:pPr>
        <w:pStyle w:val="Heading1"/>
        <w:keepLines/>
        <w:widowControl/>
      </w:pPr>
      <w:r>
        <w:t>7. EID, employment and the upper age limit</w:t>
      </w:r>
    </w:p>
    <w:p>
      <w:pPr>
        <w:keepLines/>
        <w:widowControl/>
      </w:pPr>
      <w:r>
        <w:t>EID means Employed Individuals with Disabilities. Maryland’s Medicaid buy-in helps eligible people who work retain Medicaid despite earnings that would otherwise disqualify them, with premiums when required. The current eligibility page requires applicants to be at least 16 and not yet 65. Other conditions apply, and EID eligibility does not guarantee every requested service.</w:t>
      </w:r>
    </w:p>
    <w:p>
      <w:pPr>
        <w:keepLines/>
        <w:widowControl/>
      </w:pPr>
      <w:r>
        <w:t>At 65, another Medicaid category may be available, but different financial or service rules can affect work decisions. Aging out is not a legal order to retire, and it does not mean everyone loses every benefit. Medicare generally does not cover ongoing nonmedical personal care. Individual benefits counseling matters before changing work hours or retiring.</w:t>
      </w:r>
    </w:p>
    <w:p>
      <w:pPr>
        <w:keepLines/>
        <w:widowControl/>
      </w:pPr>
      <w:r>
        <w:t>The 2024 reforms improved EID eligibility but did not remove its upper age limit. Maryland’s January 2025 report examined expansion to older people who work. HB 430 in 2025 proposed prohibiting an upper age limit; its official history records withdrawal by the sponsor on April 3, 2025. It was not enacted. This supports describing an unresolved barrier, not claiming the same bill was voted down each year.</w:t>
      </w:r>
    </w:p>
    <w:p>
      <w:pPr>
        <w:keepLines/>
        <w:widowControl/>
        <w:spacing w:after="60" w:line="240" w:lineRule="auto"/>
      </w:pPr>
      <w:hyperlink r:id="rId26">
        <w:r>
          <w:rPr>
            <w:rFonts w:ascii="Times New Roman" w:hAnsi="Times New Roman"/>
            <w:sz w:val="23"/>
            <w:color w:val="000000"/>
            <w:u w:val="single"/>
          </w:rPr>
          <w:t>Maryland Department of Health: EID eligibility and premiums</w:t>
        </w:r>
      </w:hyperlink>
    </w:p>
    <w:p>
      <w:pPr>
        <w:keepLines/>
        <w:widowControl/>
        <w:spacing w:after="60" w:line="240" w:lineRule="auto"/>
      </w:pPr>
      <w:hyperlink r:id="rId27">
        <w:r>
          <w:rPr>
            <w:rFonts w:ascii="Times New Roman" w:hAnsi="Times New Roman"/>
            <w:sz w:val="23"/>
            <w:color w:val="000000"/>
            <w:u w:val="single"/>
          </w:rPr>
          <w:t>Maryland EID expansion report, January 2025 (PDF)</w:t>
        </w:r>
      </w:hyperlink>
    </w:p>
    <w:p>
      <w:pPr>
        <w:keepLines/>
        <w:widowControl/>
        <w:spacing w:after="60" w:line="240" w:lineRule="auto"/>
      </w:pPr>
      <w:hyperlink r:id="rId28">
        <w:r>
          <w:rPr>
            <w:rFonts w:ascii="Times New Roman" w:hAnsi="Times New Roman"/>
            <w:sz w:val="23"/>
            <w:color w:val="000000"/>
            <w:u w:val="single"/>
          </w:rPr>
          <w:t>Maryland General Assembly: HB 430 (2025) and withdrawal history</w:t>
        </w:r>
      </w:hyperlink>
    </w:p>
    <w:p>
      <w:pPr>
        <w:keepLines/>
        <w:widowControl/>
        <w:spacing w:after="60" w:line="240" w:lineRule="auto"/>
      </w:pPr>
      <w:hyperlink r:id="rId29">
        <w:r>
          <w:rPr>
            <w:rFonts w:ascii="Times New Roman" w:hAnsi="Times New Roman"/>
            <w:sz w:val="23"/>
            <w:color w:val="000000"/>
            <w:u w:val="single"/>
          </w:rPr>
          <w:t>Medicare: limits on coverage for long term care</w:t>
        </w:r>
      </w:hyperlink>
    </w:p>
    <w:p>
      <w:pPr>
        <w:pStyle w:val="Heading1"/>
        <w:keepLines/>
        <w:widowControl/>
      </w:pPr>
      <w:r>
        <w:t>8. Retirement age: discussion is not enacted law</w:t>
      </w:r>
    </w:p>
    <w:p>
      <w:pPr>
        <w:keepLines/>
        <w:widowControl/>
      </w:pPr>
      <w:r>
        <w:t>The Social Security Administration says full retirement age ranges from 66 to 67 depending on birth year. That is the age for an unreduced retirement benefit, not a requirement to stop working.</w:t>
      </w:r>
    </w:p>
    <w:p>
      <w:pPr>
        <w:keepLines/>
        <w:widowControl/>
      </w:pPr>
      <w:r>
        <w:t>A congressional letter dated October 3, 2025 records that the Social Security commissioner discussed considering a higher retirement age in a September 19, 2025 interview, then stated that raising the age was not under consideration. The source is a letter by lawmakers raising concerns, not an administration policy document. The statement preserves the withdrawal and does not present the comment as an enacted increase. EID has separate eligibility rules.</w:t>
      </w:r>
    </w:p>
    <w:p>
      <w:pPr>
        <w:keepLines/>
        <w:widowControl/>
        <w:spacing w:after="60" w:line="240" w:lineRule="auto"/>
      </w:pPr>
      <w:hyperlink r:id="rId30">
        <w:r>
          <w:rPr>
            <w:rFonts w:ascii="Times New Roman" w:hAnsi="Times New Roman"/>
            <w:sz w:val="23"/>
            <w:color w:val="000000"/>
            <w:u w:val="single"/>
          </w:rPr>
          <w:t>Social Security Administration: Plan for Retirement</w:t>
        </w:r>
      </w:hyperlink>
    </w:p>
    <w:p>
      <w:pPr>
        <w:keepLines/>
        <w:widowControl/>
        <w:spacing w:after="60" w:line="240" w:lineRule="auto"/>
      </w:pPr>
      <w:hyperlink r:id="rId31">
        <w:r>
          <w:rPr>
            <w:rFonts w:ascii="Times New Roman" w:hAnsi="Times New Roman"/>
            <w:sz w:val="23"/>
            <w:color w:val="000000"/>
            <w:u w:val="single"/>
          </w:rPr>
          <w:t>Congressional letter documenting the September 2025 comment and withdrawal</w:t>
        </w:r>
      </w:hyperlink>
    </w:p>
    <w:p>
      <w:pPr>
        <w:pStyle w:val="Heading1"/>
        <w:keepLines/>
        <w:widowControl/>
      </w:pPr>
      <w:r>
        <w:t>9. The full cost of support and the loss of support</w:t>
      </w:r>
    </w:p>
    <w:p>
      <w:pPr>
        <w:keepLines/>
        <w:widowControl/>
      </w:pPr>
      <w:r>
        <w:t>The 2025 HB 430 fiscal note projected about $2.9 million in combined Medicaid spending for fiscal year 2026 to expand EID, split about equally between state and federal funds. It included staff, administration and service costs, with offsets for premiums. This was a projection for legislation that did not pass, not actual spending or a fresh 2026 estimate. It is not a full economic analysis of lost work or possible institutional placement.</w:t>
      </w:r>
    </w:p>
    <w:p>
      <w:pPr>
        <w:keepLines/>
        <w:widowControl/>
        <w:spacing w:after="60" w:line="240" w:lineRule="auto"/>
      </w:pPr>
      <w:hyperlink r:id="rId32">
        <w:r>
          <w:rPr>
            <w:rFonts w:ascii="Times New Roman" w:hAnsi="Times New Roman"/>
            <w:sz w:val="23"/>
            <w:color w:val="000000"/>
            <w:u w:val="single"/>
          </w:rPr>
          <w:t>HB 430 fiscal and policy note (2025), pages 1 and 3 (PDF)</w:t>
        </w:r>
      </w:hyperlink>
    </w:p>
    <w:p>
      <w:pPr>
        <w:keepLines/>
        <w:widowControl/>
      </w:pPr>
      <w:r>
        <w:t>Historical comparison: A federal Money Follows the Person evaluation examined people who moved from institutions to community services during 2010 through 2012. For 2,110 participants with intellectual disabilities in the spending analysis, average total Medicare and Medicaid spending fell about 24% in the first year and remained similar in the second. See pages 6 and 9, including Figure 3. These are study averages, not current Maryland prices or a guarantee that every community arrangement costs less.</w:t>
      </w:r>
    </w:p>
    <w:p>
      <w:pPr>
        <w:keepLines/>
        <w:widowControl/>
        <w:spacing w:after="60" w:line="240" w:lineRule="auto"/>
      </w:pPr>
      <w:hyperlink r:id="rId33">
        <w:r>
          <w:rPr>
            <w:rFonts w:ascii="Times New Roman" w:hAnsi="Times New Roman"/>
            <w:sz w:val="23"/>
            <w:color w:val="000000"/>
            <w:u w:val="single"/>
          </w:rPr>
          <w:t>CMS evaluation: Health Care Expenditures Two Years Post-Transition (PDF)</w:t>
        </w:r>
      </w:hyperlink>
    </w:p>
    <w:p>
      <w:pPr>
        <w:keepLines/>
        <w:widowControl/>
      </w:pPr>
      <w:r>
        <w:t>POG’s questions ask for comparisons that include community support, the likely alternative placement, emergency care, administrative work, and lost earnings and employment by people with disabilities and family members providing unpaid support. No verified current Maryland total for these combined effects was established here. Avoid adding wages, taxes and economic output as if they were entirely separate losses. The statement identifies a risk to investigate, not a prediction or an announced Maryland institutionalization plan.</w:t>
      </w:r>
    </w:p>
    <w:p>
      <w:pPr>
        <w:pStyle w:val="Heading1"/>
        <w:keepLines/>
        <w:widowControl/>
      </w:pPr>
      <w:r>
        <w:t>10. Personal accounts, communication support and appeals</w:t>
      </w:r>
    </w:p>
    <w:p>
      <w:pPr>
        <w:keepLines/>
        <w:widowControl/>
      </w:pPr>
      <w:r>
        <w:t>Personal accounts: Mat Rice reports that his ongoing job supports were approved after a request for a fading plan and his explanation of continuing need. He also reports that, after his brother’s Medicaid denial, his brother requested a phone number for the professional handling his Medicaid case to provide information and was told he would not receive it. Senator Charles E. Sydnor III’s office has assisted the family in seeking answers. These are Mat’s accounts, not independently verified findings from public case records.</w:t>
      </w:r>
    </w:p>
    <w:p>
      <w:pPr>
        <w:keepLines/>
        <w:widowControl/>
      </w:pPr>
      <w:r>
        <w:t>The contact concern is access to a functioning work contact or other effective route for submitting information and getting help. It is not a claim to an employee’s private phone number, or a finding that a particular direct number must be disclosed. POG’s reports about support gaps, delays, feeling unheard and being asked to solve system problems are organizational experiences, not statewide survey results. No universal fading plan rule was established in the sources reviewed.</w:t>
      </w:r>
    </w:p>
    <w:p>
      <w:pPr>
        <w:keepLines/>
        <w:widowControl/>
      </w:pPr>
      <w:r>
        <w:t>Accessible information: 42 C.F.R. § 435.905 requires Medicaid information about eligibility, services, rights and responsibilities in plain language and in accessible, timely forms. It requires language services and disability related aids and services at no cost to the individual. The ADA also requires effective communication in covered settings. Help can include an interpreter, accessible written instructions or another suitable communication aid, depending on the person’s needs.</w:t>
      </w:r>
    </w:p>
    <w:p>
      <w:pPr>
        <w:keepLines/>
        <w:widowControl/>
        <w:spacing w:after="60" w:line="240" w:lineRule="auto"/>
      </w:pPr>
      <w:hyperlink r:id="rId34">
        <w:r>
          <w:rPr>
            <w:rFonts w:ascii="Times New Roman" w:hAnsi="Times New Roman"/>
            <w:sz w:val="23"/>
            <w:color w:val="000000"/>
            <w:u w:val="single"/>
          </w:rPr>
          <w:t>Federal Medicaid information and accessibility requirements: 42 C.F.R. § 435.905</w:t>
        </w:r>
      </w:hyperlink>
    </w:p>
    <w:p>
      <w:pPr>
        <w:keepLines/>
        <w:widowControl/>
        <w:spacing w:after="60" w:line="240" w:lineRule="auto"/>
      </w:pPr>
      <w:hyperlink r:id="rId35">
        <w:r>
          <w:rPr>
            <w:rFonts w:ascii="Times New Roman" w:hAnsi="Times New Roman"/>
            <w:sz w:val="23"/>
            <w:color w:val="000000"/>
            <w:u w:val="single"/>
          </w:rPr>
          <w:t>U.S. Department of Justice: ADA Requirements for Effective Communication</w:t>
        </w:r>
      </w:hyperlink>
    </w:p>
    <w:p>
      <w:pPr>
        <w:keepLines/>
        <w:widowControl/>
      </w:pPr>
      <w:r>
        <w:t>Practical requests: A person can ask for a working contact route, help understanding a notice, permission for a chosen supporter to help where appropriate, extra time or breaks as an accommodation, and written confirmation that information was received. A useful request is: “I need help communicating and understanding the steps. Please explain how I can submit my information and reach someone who can help.” Specific accommodations depend on the circumstances; this is not a promise that every requested change must be granted.</w:t>
      </w:r>
    </w:p>
    <w:p>
      <w:pPr>
        <w:keepLines/>
        <w:widowControl/>
      </w:pPr>
      <w:r>
        <w:t>Appeals: Under 42 C.F.R. § 431.244(f), final administrative action on a Medicaid fair hearing ordinarily must occur within 90 days of the request. Managed care cases, expedited cases and permitted delays have specific rules. Reports beyond 90 days warrant review but do not alone prove a violation. DDA and Medicaid decisions may involve different appeal routes. Ask for the written reasons, governing rule, appeal instructions and deadlines, including any shorter deadline to keep existing services during an appeal. Legislative assistance does not replace filing an appeal.</w:t>
      </w:r>
    </w:p>
    <w:p>
      <w:pPr>
        <w:keepLines/>
        <w:widowControl/>
        <w:spacing w:after="60" w:line="240" w:lineRule="auto"/>
      </w:pPr>
      <w:hyperlink r:id="rId36">
        <w:r>
          <w:rPr>
            <w:rFonts w:ascii="Times New Roman" w:hAnsi="Times New Roman"/>
            <w:sz w:val="23"/>
            <w:color w:val="000000"/>
            <w:u w:val="single"/>
          </w:rPr>
          <w:t>Federal Medicaid hearing decision timing: 42 C.F.R. § 431.244(f)</w:t>
        </w:r>
      </w:hyperlink>
    </w:p>
    <w:p>
      <w:pPr>
        <w:pStyle w:val="Heading1"/>
        <w:keepLines/>
        <w:widowControl/>
      </w:pPr>
      <w:r>
        <w:t>11. National provider findings: ANCOR’s 2026 survey</w:t>
      </w:r>
    </w:p>
    <w:p>
      <w:pPr>
        <w:keepLines/>
        <w:widowControl/>
      </w:pPr>
      <w:r>
        <w:t>ANCOR is a national organization representing providers of services for people with intellectual and developmental disabilities. Its report, The State of America’s Direct Support Workforce Crisis 2026, was released September 30, 2026. It reports 524 responses from provider organizations operating across all 50 states and the District of Columbia.</w:t>
      </w:r>
    </w:p>
    <w:p>
      <w:pPr>
        <w:keepLines/>
        <w:widowControl/>
      </w:pPr>
      <w:r>
        <w:t>Among respondents, 85% reported moderate or severe staffing challenges in the prior year; 55% were turning away new referrals because of insufficient staffing; and 29% were discontinuing programs or services because of staffing challenges. In plain language, providers reported being unable to accept some people or continue some help because they did not have enough direct support professionals.</w:t>
      </w:r>
    </w:p>
    <w:p>
      <w:pPr>
        <w:keepLines/>
        <w:widowControl/>
      </w:pPr>
      <w:r>
        <w:t>These are reports from participating provider organizations, not percentages of all providers, people with disabilities or Maryland residents. They do not establish that DDA caused the national shortages. The findings supply national context for questions about whether approved services are actually available. ANCOR’s policy recommendations are distinct from its survey findings.</w:t>
      </w:r>
    </w:p>
    <w:p>
      <w:pPr>
        <w:keepLines/>
        <w:widowControl/>
        <w:spacing w:after="60" w:line="240" w:lineRule="auto"/>
      </w:pPr>
      <w:hyperlink r:id="rId37">
        <w:r>
          <w:rPr>
            <w:rFonts w:ascii="Times New Roman" w:hAnsi="Times New Roman"/>
            <w:sz w:val="23"/>
            <w:color w:val="000000"/>
            <w:u w:val="single"/>
          </w:rPr>
          <w:t>ANCOR: The State of America’s Direct Support Workforce Crisis 2026</w:t>
        </w:r>
      </w:hyperlink>
    </w:p>
    <w:p>
      <w:pPr>
        <w:keepLines/>
        <w:widowControl/>
        <w:spacing w:after="60" w:line="240" w:lineRule="auto"/>
      </w:pPr>
      <w:hyperlink r:id="rId38">
        <w:r>
          <w:rPr>
            <w:rFonts w:ascii="Times New Roman" w:hAnsi="Times New Roman"/>
            <w:sz w:val="23"/>
            <w:color w:val="000000"/>
            <w:u w:val="single"/>
          </w:rPr>
          <w:t>ANCOR: September 30, 2026 report announcement and key findings</w:t>
        </w:r>
      </w:hyperlink>
    </w:p>
    <w:p>
      <w:pPr>
        <w:pStyle w:val="Heading1"/>
        <w:keepLines/>
        <w:widowControl/>
      </w:pPr>
      <w:r>
        <w:t>12. Unpaid help, relationships and reliable support</w:t>
      </w:r>
    </w:p>
    <w:p>
      <w:pPr>
        <w:keepLines/>
        <w:widowControl/>
      </w:pPr>
      <w:r>
        <w:t>POG’s position, supplied by Mat Rice: Occasional help from a friend, coworker or relative differs from ongoing responsibility for support. POG does not accept “natural supports” as a reason to expect ongoing unpaid work. Its position is that consistently needed support should be paid. It is concerned that exhaustion or the end of an unpaid arrangement could damage relationships and leave essential needs unmet. This is POG’s position, not an existing legal requirement to pay for every regular act of assistance.</w:t>
      </w:r>
    </w:p>
    <w:p>
      <w:pPr>
        <w:keepLines/>
        <w:widowControl/>
      </w:pPr>
      <w:r>
        <w:t>Current federal rule: 42 C.F.R. § 441.301(c)(2)(v) recognizes natural supports as voluntary unpaid help in place of waiver services. Subsections (vi) and (ix) address risks, backup plans and informed agreement to the plan. The law therefore recognizes voluntary unpaid help; it does not make all ongoing help automatically payable by Medicaid.</w:t>
      </w:r>
    </w:p>
    <w:p>
      <w:pPr>
        <w:keepLines/>
        <w:widowControl/>
        <w:spacing w:after="80"/>
      </w:pPr>
      <w:hyperlink r:id="rId41">
        <w:r>
          <w:rPr>
            <w:color w:val="000000"/>
            <w:u w:val="single"/>
            <w:rFonts w:ascii="Times New Roman" w:hAnsi="Times New Roman"/>
          </w:rPr>
          <w:t>Federal rule on voluntary unpaid support, backup plans and agreement: § 441.301(c)(2)</w:t>
        </w:r>
      </w:hyperlink>
    </w:p>
    <w:p>
      <w:pPr>
        <w:keepLines/>
        <w:widowControl/>
      </w:pPr>
      <w:r>
        <w:t>Research on strain: A 2024 Centers for Disease Control and Prevention (CDC) study used 2015 to 2016 and 2021 to 2022 data from 35 states and Puerto Rico. Frequent mental distress and depression were more common among adults regularly helping friends or relatives than among those not providing help. This association does not prove that unpaid help caused the difference or that payment would prevent it. The study is not specific to Maryland DDA participants.</w:t>
      </w:r>
    </w:p>
    <w:p>
      <w:pPr>
        <w:keepLines/>
        <w:widowControl/>
        <w:spacing w:after="80"/>
      </w:pPr>
      <w:hyperlink r:id="rId42">
        <w:r>
          <w:rPr>
            <w:color w:val="000000"/>
            <w:u w:val="single"/>
            <w:rFonts w:ascii="Times New Roman" w:hAnsi="Times New Roman"/>
          </w:rPr>
          <w:t>CDC: 2024 study of health among adults providing regular help to family or friends</w:t>
        </w:r>
      </w:hyperlink>
    </w:p>
    <w:p>
      <w:pPr>
        <w:keepLines/>
        <w:widowControl/>
      </w:pPr>
      <w:r>
        <w:t>Questions for planning: Has the supporter freely agreed to the tasks and time involved? Can they continue safely? What happens if they become ill, need a break or stop helping? What paid support and backup plans are available? Having a friend or relative does not answer these questions.</w:t>
      </w:r>
    </w:p>
    <w:p>
      <w:pPr>
        <w:keepLines/>
        <w:spacing w:before="100" w:after="0"/>
      </w:pPr>
      <w:r>
        <w:rPr>
          <w:rFonts w:ascii="Times New Roman" w:hAnsi="Times New Roman" w:cs="Times New Roman" w:eastAsia="Times New Roman"/>
          <w:b/>
          <w:color w:val="000000"/>
          <w:sz w:val="24"/>
        </w:rPr>
        <w:t xml:space="preserve">Contact POG | Phone: </w:t>
      </w:r>
      <w:hyperlink r:id="rId43" w:history="1">
        <w:r>
          <w:rPr>
            <w:rFonts w:ascii="Times New Roman" w:hAnsi="Times New Roman"/>
            <w:color w:val="000000"/>
            <w:u w:val="single"/>
            <w:sz w:val="24"/>
          </w:rPr>
          <w:t>443-492-9499</w:t>
        </w:r>
      </w:hyperlink>
      <w:r>
        <w:rPr>
          <w:rFonts w:ascii="Times New Roman" w:hAnsi="Times New Roman" w:cs="Times New Roman" w:eastAsia="Times New Roman"/>
          <w:b/>
          <w:color w:val="000000"/>
          <w:sz w:val="24"/>
        </w:rPr>
        <w:t xml:space="preserve"> | Email: </w:t>
      </w:r>
      <w:hyperlink r:id="rId44" w:history="1">
        <w:r>
          <w:rPr>
            <w:rFonts w:ascii="Times New Roman" w:hAnsi="Times New Roman"/>
            <w:color w:val="000000"/>
            <w:u w:val="single"/>
            <w:sz w:val="24"/>
          </w:rPr>
          <w:t>info@pogmd.org</w:t>
        </w:r>
      </w:hyperlink>
    </w:p>
    <w:sectPr w:rsidR="00FC693F" w:rsidRPr="0006063C" w:rsidSect="00034616">
      <w:headerReference w:type="default" r:id="rId9"/>
      <w:footerReference w:type="default" r:id="rId10"/>
      <w:pgSz w:w="12240" w:h="15840"/>
      <w:pgMar w:top="936" w:right="1080" w:bottom="936"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center"/>
    </w:pPr>
    <w:r>
      <w:rPr>
        <w:rFonts w:ascii="Times New Roman" w:hAnsi="Times New Roman" w:cs="Times New Roman" w:eastAsia="Times New Roman"/>
        <w:color w:val="000000"/>
        <w:sz w:val="20"/>
      </w:rPr>
      <w:t>People on the Go Maryland | 443-492-9499 | info@pogmd.org</w:t>
    </w:r>
  </w:p>
  <w:p>
    <w:pPr>
      <w:pStyle w:val="Footer"/>
      <w:spacing w:after="0"/>
      <w:jc w:val="center"/>
    </w:pPr>
    <w:r>
      <w:t xml:space="preserve">People on the Go Maryland | 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t>People on the Go Maryland | Research and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en-US"/>
  <w:autoHyphenatio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4" w:lineRule="auto" w:after="70"/>
      <w:suppressAutoHyphens w:val="1"/>
    </w:pPr>
    <w:rPr>
      <w:rFonts w:ascii="Times New Roman" w:hAnsi="Times New Roman"/>
      <w:b w:val="0"/>
      <w:color w:val="000000"/>
      <w:sz w:val="24"/>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b w:val="0"/>
      <w:color w:val="000000"/>
      <w:sz w:val="2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b w:val="0"/>
      <w:color w:val="000000"/>
      <w:sz w:val="21"/>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suppressAutoHyphens w:val="1"/>
    </w:pPr>
    <w:rPr>
      <w:rFonts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contextualSpacing/>
      <w:suppressAutoHyphens w:val="1"/>
    </w:pPr>
    <w:rPr>
      <w:rFonts w:ascii="Times New Roman" w:hAnsi="Times New Roman"/>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uppressAutoHyphens w:val="1"/>
    </w:pPr>
    <w:rPr>
      <w:rFonts w:ascii="Times New Roman" w:hAnsi="Times New Roman"/>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aapd.com/wp-content/uploads/2026/09/125._Order_and_Final_Judgment.pdf" TargetMode="External"/><Relationship Id="rId12" Type="http://schemas.openxmlformats.org/officeDocument/2006/relationships/hyperlink" Target="https://www.ada.gov/topics/community-integration/" TargetMode="External"/><Relationship Id="rId13" Type="http://schemas.openxmlformats.org/officeDocument/2006/relationships/hyperlink" Target="https://www.ada.gov/resources/disability-rights-guide/" TargetMode="External"/><Relationship Id="rId14" Type="http://schemas.openxmlformats.org/officeDocument/2006/relationships/hyperlink" Target="https://health.maryland.gov/dda/Documents/DDA%20Self-Directed%20Services%20Manual%20-%20Revised%20May%2011,%202026.pdf" TargetMode="External"/><Relationship Id="rId15" Type="http://schemas.openxmlformats.org/officeDocument/2006/relationships/hyperlink" Target="https://www.ecfr.gov/current/title-42/chapter-IV/subchapter-C/part-441/subpart-G/section-441.301" TargetMode="External"/><Relationship Id="rId16" Type="http://schemas.openxmlformats.org/officeDocument/2006/relationships/hyperlink" Target="https://health.maryland.gov/dda/pages/person-centered_planning.aspx" TargetMode="External"/><Relationship Id="rId17" Type="http://schemas.openxmlformats.org/officeDocument/2006/relationships/hyperlink" Target="https://health.maryland.gov/dda/Documents/DDA%20Participant%20Rights%20and%20Responsibilities%20Final%20Revised%20March%202,%202026%20Fillable.docx%20(1)%20(1).pdf" TargetMode="External"/><Relationship Id="rId18" Type="http://schemas.openxmlformats.org/officeDocument/2006/relationships/hyperlink" Target="https://www.hhs.gov/hipaa/for-professionals/privacy/laws-regulations/index.html" TargetMode="External"/><Relationship Id="rId19" Type="http://schemas.openxmlformats.org/officeDocument/2006/relationships/hyperlink" Target="https://health.maryland.gov/dda/Pages/SIS.aspx" TargetMode="External"/><Relationship Id="rId20" Type="http://schemas.openxmlformats.org/officeDocument/2006/relationships/hyperlink" Target="https://regs.maryland.gov/us/md/exec/comar/10.09.48.06" TargetMode="External"/><Relationship Id="rId21" Type="http://schemas.openxmlformats.org/officeDocument/2006/relationships/hyperlink" Target="https://health.maryland.gov/dda/Documents/PCP%20Development%20and%20Auth%20Manual-%20Revised%20February%203,%202026%20(1).pdf" TargetMode="External"/><Relationship Id="rId22" Type="http://schemas.openxmlformats.org/officeDocument/2006/relationships/hyperlink" Target="https://health.maryland.gov/dda/Documents/CMS%20Submission%20-%20%20Community%20Living%20%E2%80%93%20Group%20Home%20Amendment%20%234%202026%20-%20Proposal%20-%20July%201,%202026%20(Black%20and%20White).docx.pdf" TargetMode="External"/><Relationship Id="rId23" Type="http://schemas.openxmlformats.org/officeDocument/2006/relationships/hyperlink" Target="https://health.maryland.gov/dda/Pages/Community-Pathways-Waiver-Amendment-4-2026.aspx" TargetMode="External"/><Relationship Id="rId24" Type="http://schemas.openxmlformats.org/officeDocument/2006/relationships/hyperlink" Target="https://mgaleg.maryland.gov/mgawebsite/Legislation/Details/SB0417?ys=2016rs" TargetMode="External"/><Relationship Id="rId25" Type="http://schemas.openxmlformats.org/officeDocument/2006/relationships/hyperlink" Target="https://leadcenter.org/state_policies/hb-420-sb-417-ken-capone-equal-employment-act-eea/" TargetMode="External"/><Relationship Id="rId26" Type="http://schemas.openxmlformats.org/officeDocument/2006/relationships/hyperlink" Target="https://health.maryland.gov/mmcp/eid/Pages/Home.aspx" TargetMode="External"/><Relationship Id="rId27" Type="http://schemas.openxmlformats.org/officeDocument/2006/relationships/hyperlink" Target="https://dlslibrary.state.md.us/publications/Exec/MDH/SB790Ch845HB822Ch846(2)(2024).pdf" TargetMode="External"/><Relationship Id="rId28" Type="http://schemas.openxmlformats.org/officeDocument/2006/relationships/hyperlink" Target="https://mgaleg.maryland.gov/mgawebsite/Legislation/Details/HB0430?ys=2025RS" TargetMode="External"/><Relationship Id="rId29" Type="http://schemas.openxmlformats.org/officeDocument/2006/relationships/hyperlink" Target="https://www.medicare.gov/coverage/long-term-care" TargetMode="External"/><Relationship Id="rId30" Type="http://schemas.openxmlformats.org/officeDocument/2006/relationships/hyperlink" Target="https://www.ssa.gov/retirement/plan-for-retirement" TargetMode="External"/><Relationship Id="rId31" Type="http://schemas.openxmlformats.org/officeDocument/2006/relationships/hyperlink" Target="https://www.gillibrand.senate.gov/news/press/release/gillibrand-presses-trump-on-possible-plans-to-raise-social-security-retirement-age/" TargetMode="External"/><Relationship Id="rId32" Type="http://schemas.openxmlformats.org/officeDocument/2006/relationships/hyperlink" Target="https://mgaleg.maryland.gov/2025RS/fnotes/bil_0000/hb0430.pdf" TargetMode="External"/><Relationship Id="rId33" Type="http://schemas.openxmlformats.org/officeDocument/2006/relationships/hyperlink" Target="https://www.medicaid.gov/sites/default/files/2019-12/mfpfieldreport21.pdf" TargetMode="External"/><Relationship Id="rId34" Type="http://schemas.openxmlformats.org/officeDocument/2006/relationships/hyperlink" Target="https://www.ecfr.gov/current/title-42/chapter-IV/subchapter-C/part-435/subpart-J/subject-group-ECFR9b4bff9082050a1/section-435.905" TargetMode="External"/><Relationship Id="rId35" Type="http://schemas.openxmlformats.org/officeDocument/2006/relationships/hyperlink" Target="https://www.ada.gov/resources/effective-communication/" TargetMode="External"/><Relationship Id="rId36" Type="http://schemas.openxmlformats.org/officeDocument/2006/relationships/hyperlink" Target="https://www.ecfr.gov/current/title-42/chapter-IV/subchapter-C/part-431/subpart-E/subject-group-ECFR8f26a68cc25862f/section-431.244" TargetMode="External"/><Relationship Id="rId37" Type="http://schemas.openxmlformats.org/officeDocument/2006/relationships/hyperlink" Target="https://www.ancor.org/resources/the-state-of-americas-direct-support-workforce-crisis-2026/" TargetMode="External"/><Relationship Id="rId38" Type="http://schemas.openxmlformats.org/officeDocument/2006/relationships/hyperlink" Target="https://www.ancor.org/article/decades-into-americas-disability-services-workforce-crisis-providers-see-little-progress-as-states-face-new-medicaid-funding-pressures/" TargetMode="External"/><Relationship Id="rId39" Type="http://schemas.openxmlformats.org/officeDocument/2006/relationships/hyperlink" Target="https://www.ecfr.gov/current/title-42/chapter-IV/subchapter-C/part-431/subpart-E/subject-group-ECFR803dd5eda355b92/section-431.210" TargetMode="External"/><Relationship Id="rId40" Type="http://schemas.openxmlformats.org/officeDocument/2006/relationships/hyperlink" Target="https://www.aaidd.org/sis/faqs" TargetMode="External"/><Relationship Id="rId41" Type="http://schemas.openxmlformats.org/officeDocument/2006/relationships/hyperlink" Target="https://www.ecfr.gov/current/title-42/chapter-IV/subchapter-C/part-441/subpart-G/section-441.301#p-441.301(c)(2)" TargetMode="External"/><Relationship Id="rId42" Type="http://schemas.openxmlformats.org/officeDocument/2006/relationships/hyperlink" Target="https://www.cdc.gov/mmwr/volumes/73/wr/mm7334a2.htm" TargetMode="External"/><Relationship Id="rId43" Type="http://schemas.openxmlformats.org/officeDocument/2006/relationships/hyperlink" Target="tel:+14434929499" TargetMode="External"/><Relationship Id="rId44" Type="http://schemas.openxmlformats.org/officeDocument/2006/relationships/hyperlink" Target="mailto:info@pogm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and Resources</dc:title>
  <dc:subject>People on the Go Maryland | October 1, 2026</dc:subject>
  <dc:creator>Mat Rice, Executive Director</dc:creator>
  <cp:keywords>People on the Go Maryland, community living, self advocacy</cp:keywords>
  <dc:description/>
  <cp:lastModifiedBy>Mat Rice</cp:lastModifiedBy>
  <cp:revision>1</cp:revision>
  <dcterms:created xsi:type="dcterms:W3CDTF">2026-10-01T17:00:00Z</dcterms:created>
  <dcterms:modified xsi:type="dcterms:W3CDTF">2026-10-01T17:00:00Z</dcterms:modified>
  <cp:category/>
</cp:coreProperties>
</file>